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WG2 Meeting #1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23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</w:t>
      </w:r>
      <w:r>
        <w:rPr>
          <w:rFonts w:ascii="Arial" w:hAnsi="Arial" w:eastAsia="MS Mincho" w:cs="Arial"/>
          <w:b/>
          <w:kern w:val="0"/>
          <w:sz w:val="22"/>
          <w:lang w:val="en-GB" w:eastAsia="en-GB"/>
        </w:rPr>
        <w:t>R2-2</w:t>
      </w:r>
      <w:r>
        <w:rPr>
          <w:rFonts w:hint="eastAsia" w:ascii="Arial" w:hAnsi="Arial" w:eastAsia="宋体" w:cs="Arial"/>
          <w:b/>
          <w:kern w:val="0"/>
          <w:sz w:val="22"/>
          <w:lang w:val="en-US" w:eastAsia="zh-CN"/>
        </w:rPr>
        <w:t>308290</w:t>
      </w:r>
      <w:bookmarkStart w:id="1" w:name="_GoBack"/>
      <w:bookmarkEnd w:id="1"/>
    </w:p>
    <w:p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Arial" w:hAnsi="Arial" w:eastAsia="宋体" w:cs="Arial"/>
          <w:b/>
          <w:bCs/>
          <w:kern w:val="0"/>
          <w:sz w:val="24"/>
          <w:szCs w:val="24"/>
          <w:lang w:val="en-GB" w:eastAsia="zh-CN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Toulouse, France,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21 - 25 August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>, 202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3</w:t>
      </w: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>
      <w:pPr>
        <w:widowControl/>
        <w:tabs>
          <w:tab w:val="left" w:pos="1985"/>
        </w:tabs>
        <w:spacing w:after="120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7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6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3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.2</w:t>
      </w:r>
    </w:p>
    <w:p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>
      <w:pPr>
        <w:widowControl/>
        <w:spacing w:after="180"/>
        <w:ind w:left="1985" w:hanging="1985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 xml:space="preserve">Discussion on 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CHO enhancements for eMTC NTN</w:t>
      </w:r>
    </w:p>
    <w:p>
      <w:pPr>
        <w:widowControl/>
        <w:spacing w:after="180"/>
        <w:ind w:left="1985" w:hanging="1985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GB" w:eastAsia="en-US"/>
        </w:rPr>
        <w:t>IoT_NTN_enh</w:t>
      </w:r>
    </w:p>
    <w:p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1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In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last meeting [1]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,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RAN2 discussed the CHO enhancements for eMTC NTN, e.g. whether the time/location trigger must be configured together with an RRM based trigger, but had no consensus.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kern w:val="0"/>
          <w:sz w:val="20"/>
          <w:szCs w:val="20"/>
          <w:lang w:val="en-GB"/>
        </w:rPr>
        <w:t xml:space="preserve">This contribution will discuss the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remaining issues CHO enhancements for eMTC NTN</w:t>
      </w:r>
      <w:r>
        <w:rPr>
          <w:rFonts w:ascii="Arial" w:hAnsi="Arial" w:eastAsia="宋体" w:cs="Arial"/>
          <w:kern w:val="0"/>
          <w:sz w:val="20"/>
          <w:szCs w:val="20"/>
          <w:lang w:val="en-GB"/>
        </w:rPr>
        <w:t>.</w:t>
      </w:r>
    </w:p>
    <w:p>
      <w:pPr>
        <w:keepNext/>
        <w:keepLines/>
        <w:widowControl/>
        <w:numPr>
          <w:ilvl w:val="0"/>
          <w:numId w:val="1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Discussion</w:t>
      </w:r>
    </w:p>
    <w:p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hint="default" w:ascii="Arial" w:hAnsi="Arial" w:eastAsia="宋体" w:cs="Arial"/>
          <w:kern w:val="0"/>
          <w:sz w:val="32"/>
          <w:szCs w:val="20"/>
          <w:highlight w:val="none"/>
          <w:lang w:val="en-US" w:eastAsia="zh-CN"/>
        </w:rPr>
      </w:pPr>
      <w:r>
        <w:rPr>
          <w:rFonts w:ascii="Arial" w:hAnsi="Arial" w:eastAsia="宋体" w:cs="Arial"/>
          <w:kern w:val="0"/>
          <w:sz w:val="32"/>
          <w:szCs w:val="20"/>
          <w:highlight w:val="none"/>
          <w:lang w:val="en-GB" w:eastAsia="en-US"/>
        </w:rPr>
        <w:t>2.</w:t>
      </w:r>
      <w:r>
        <w:rPr>
          <w:rFonts w:hint="eastAsia" w:ascii="Arial" w:hAnsi="Arial" w:eastAsia="宋体" w:cs="Arial"/>
          <w:kern w:val="0"/>
          <w:sz w:val="32"/>
          <w:szCs w:val="20"/>
          <w:highlight w:val="none"/>
          <w:lang w:val="en-US" w:eastAsia="zh-CN"/>
        </w:rPr>
        <w:t>1</w:t>
      </w:r>
      <w:r>
        <w:rPr>
          <w:rFonts w:ascii="Arial" w:hAnsi="Arial" w:eastAsia="宋体" w:cs="Arial"/>
          <w:kern w:val="0"/>
          <w:sz w:val="32"/>
          <w:szCs w:val="20"/>
          <w:highlight w:val="none"/>
          <w:lang w:val="en-GB" w:eastAsia="en-US"/>
        </w:rPr>
        <w:tab/>
      </w:r>
      <w:r>
        <w:rPr>
          <w:rFonts w:hint="eastAsia" w:ascii="Arial" w:hAnsi="Arial" w:eastAsia="宋体" w:cs="Arial"/>
          <w:kern w:val="0"/>
          <w:sz w:val="32"/>
          <w:szCs w:val="20"/>
          <w:highlight w:val="none"/>
          <w:lang w:val="en-US" w:eastAsia="zh-CN"/>
        </w:rPr>
        <w:t>CHO</w:t>
      </w:r>
      <w:r>
        <w:rPr>
          <w:rFonts w:hint="eastAsia" w:ascii="Arial" w:hAnsi="Arial" w:eastAsia="宋体" w:cs="Arial"/>
          <w:kern w:val="0"/>
          <w:sz w:val="32"/>
          <w:szCs w:val="20"/>
          <w:highlight w:val="none"/>
        </w:rPr>
        <w:t xml:space="preserve"> enhancements</w:t>
      </w:r>
      <w:r>
        <w:rPr>
          <w:rFonts w:hint="eastAsia" w:ascii="Arial" w:hAnsi="Arial" w:eastAsia="宋体" w:cs="Arial"/>
          <w:kern w:val="0"/>
          <w:sz w:val="32"/>
          <w:szCs w:val="20"/>
          <w:highlight w:val="none"/>
          <w:lang w:val="en-US" w:eastAsia="zh-CN"/>
        </w:rPr>
        <w:t xml:space="preserve"> for eMTC NTN</w:t>
      </w:r>
    </w:p>
    <w:p>
      <w:pPr>
        <w:widowControl/>
        <w:spacing w:after="180"/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In NR NTN, the time/location-based trigger condition is always configured together with one of the measurement-based trigger conditions, considering the UE should select a target cell in good radio condition to perform handover, and is specified in TS 38.300 [2]: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pStyle w:val="6"/>
              <w:rPr>
                <w:rFonts w:hint="default" w:ascii="Times New Roman" w:hAnsi="Times New Roman" w:cs="Times New Roman"/>
                <w:sz w:val="20"/>
                <w:szCs w:val="20"/>
              </w:rPr>
            </w:pPr>
            <w:bookmarkStart w:id="0" w:name="_Toc124536347"/>
            <w:r>
              <w:rPr>
                <w:rFonts w:hint="default" w:ascii="Times New Roman" w:hAnsi="Times New Roman" w:cs="Times New Roman"/>
                <w:sz w:val="20"/>
                <w:szCs w:val="20"/>
              </w:rPr>
              <w:t>16.14.3.2.2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Conditional Handover</w:t>
            </w:r>
            <w:bookmarkEnd w:id="0"/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same principle as described in 9.2.3.4 applies to NTN unless hereunder specified.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NTN supports the following additional trigger conditions upon which UE may execute CHO to a candidate cell, as defined in TS 38.331 [12]:</w:t>
            </w:r>
          </w:p>
          <w:p>
            <w:pPr>
              <w:pStyle w:val="22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</w:rPr>
              <w:t xml:space="preserve">The RRM measurement-based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event A4;</w:t>
            </w:r>
          </w:p>
          <w:p>
            <w:pPr>
              <w:pStyle w:val="22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 time-based trigger condition;</w:t>
            </w:r>
          </w:p>
          <w:p>
            <w:pPr>
              <w:pStyle w:val="22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 location-based trigger condition.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eastAsia="zh-CN"/>
              </w:rPr>
              <w:t xml:space="preserve">A time-based or a location-based trigger condition is always configured together with one of the measurement-based trigger conditions (CHO events A3/A4/A5)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as defined in TS 38.331 [12].</w:t>
            </w:r>
          </w:p>
          <w:p>
            <w:pPr>
              <w:rPr>
                <w:rFonts w:hint="default" w:ascii="Arial" w:hAnsi="Arial" w:eastAsia="宋体" w:cs="Arial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It is up to UE implementation how the UE evaluates the time- or location-based trigger condition together with the RRM measurement-based event.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eastAsia="宋体" w:cs="Arial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According to the revised WID for Rel-18 IoT NTN [3], the objective of mobility enhancements is to reuse the solutions introduced in Rel-17 NR NTN with minimum necessary changes to adapt them to eMTC.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spacing w:after="60"/>
              <w:rPr>
                <w:rFonts w:hint="default" w:ascii="Times New Roman" w:hAnsi="Times New Roman" w:cs="Times New Roman"/>
                <w:bCs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1"/>
              </w:rPr>
              <w:t>4.1.2</w:t>
            </w:r>
            <w:r>
              <w:rPr>
                <w:rFonts w:hint="default" w:ascii="Times New Roman" w:hAnsi="Times New Roman" w:cs="Times New Roman"/>
                <w:bCs/>
                <w:sz w:val="20"/>
                <w:szCs w:val="21"/>
              </w:rPr>
              <w:tab/>
            </w:r>
            <w:r>
              <w:rPr>
                <w:rFonts w:hint="default" w:ascii="Times New Roman" w:hAnsi="Times New Roman" w:cs="Times New Roman"/>
                <w:bCs/>
                <w:sz w:val="20"/>
                <w:szCs w:val="21"/>
              </w:rPr>
              <w:t>Mobility enhancements</w:t>
            </w:r>
          </w:p>
          <w:p>
            <w:pPr>
              <w:spacing w:after="60"/>
              <w:rPr>
                <w:rFonts w:hint="default" w:ascii="Times New Roman" w:hAnsi="Times New Roman" w:cs="Times New Roman"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sz w:val="20"/>
                <w:szCs w:val="21"/>
              </w:rPr>
              <w:t>The following mobility enhancements objectives are listed.</w:t>
            </w:r>
          </w:p>
          <w:p>
            <w:pPr>
              <w:pStyle w:val="22"/>
              <w:spacing w:after="60"/>
              <w:rPr>
                <w:rFonts w:hint="default" w:ascii="Times New Roman" w:hAnsi="Times New Roman" w:cs="Times New Roman"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sz w:val="20"/>
                <w:szCs w:val="21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>Support of neighbour cell measurements and corresponding measurement triggering before RLF, using Rel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noBreakHyphen/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>17 (TN) NB-IoT, eMTC as a baseline. [RAN2]</w:t>
            </w:r>
          </w:p>
          <w:p>
            <w:pPr>
              <w:pStyle w:val="22"/>
              <w:spacing w:after="60"/>
              <w:rPr>
                <w:rFonts w:hint="default" w:ascii="Times New Roman" w:hAnsi="Times New Roman" w:cs="Times New Roman"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sz w:val="20"/>
                <w:szCs w:val="21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>Support signalling in system information of neighbour cell ephemeris, for eMTC and NB-IoT [RAN2]</w:t>
            </w:r>
          </w:p>
          <w:p>
            <w:pPr>
              <w:pStyle w:val="22"/>
              <w:spacing w:after="60"/>
              <w:rPr>
                <w:rFonts w:hint="default" w:ascii="Times New Roman" w:hAnsi="Times New Roman" w:cs="Times New Roman"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sz w:val="20"/>
                <w:szCs w:val="21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1"/>
                <w:highlight w:val="yellow"/>
              </w:rPr>
              <w:t>Re-use the solutions introduced in Rel-17 NR NTN for mobility enhancements for eMTC, with minimum necessary changes to adapt them to eMTC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 xml:space="preserve"> [RAN2]</w:t>
            </w:r>
          </w:p>
          <w:p>
            <w:pPr>
              <w:pStyle w:val="22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60"/>
              <w:ind w:left="567" w:hanging="283"/>
              <w:textAlignment w:val="baseline"/>
              <w:rPr>
                <w:rFonts w:hint="default" w:ascii="Arial" w:hAnsi="Arial" w:eastAsia="宋体" w:cs="Arial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1"/>
              </w:rPr>
              <w:t>Define UE RRM core requirements for the above mobility enhancement features [RAN4].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Therefore, we think the similar mechanism can be reused for eMTC NTN, and how the UE evaluates the time-based or location-based trigger condition together with the RRM measurement-based event is up to UE implementation.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Proposal 1: 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Same as NR NTN, time/location-based trigger condition is always configured together with one of the measurement-based trigger conditions (CHO events A3/A4/A5).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cs="Arial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20"/>
          <w:szCs w:val="20"/>
          <w:lang w:val="en-US" w:eastAsia="zh-CN"/>
        </w:rPr>
        <w:t>Another issue is whether the time-based and location-based trigger condition can be configured jointly. In R17 NR NTN, joint configuration is not supported. The same principle can also be reused in eMTC NTN.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Proposal 2: Same as NR NTN, joint time-based and location-based CHO execution triggering for the same candidate cell is not supported for eMTC NTN.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Here are the proposals for </w:t>
      </w:r>
      <w:r>
        <w:rPr>
          <w:rFonts w:hint="eastAsia" w:ascii="Arial" w:hAnsi="Arial" w:eastAsia="宋体" w:cs="Arial"/>
          <w:kern w:val="0"/>
          <w:sz w:val="20"/>
          <w:szCs w:val="20"/>
        </w:rPr>
        <w:t>CHO enhancements for eMTC NTN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 xml:space="preserve">Proposal 1: 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Same as NR NTN, time/location-based trigger condition is always configured together with one of the measurement-based trigger conditions (CHO events A3/A4/A5).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eastAsia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Proposal 2: Same as NR NTN, joint time-based and location-based CHO execution triggering for the same candidate cell is not supported for eMTC NTN.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textAlignment w:val="auto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Draft_R2_12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_meeting_report_v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2</w:t>
      </w:r>
    </w:p>
    <w:p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TS 38.300, NR; NR and NG-RAN Overall Description; Stage 2</w:t>
      </w:r>
    </w:p>
    <w:p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GB" w:eastAsia="en-US"/>
        </w:rPr>
        <w:t>RP-223519, Revised WID on IoT NTN enhancements, Mediatek Inc., RAN#98-e, December 2022</w:t>
      </w:r>
    </w:p>
    <w:p>
      <w:pPr>
        <w:rPr>
          <w:lang w:val="en-GB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AA566"/>
    <w:multiLevelType w:val="singleLevel"/>
    <w:tmpl w:val="2DCAA566"/>
    <w:lvl w:ilvl="0" w:tentative="0">
      <w:start w:val="2"/>
      <w:numFmt w:val="decimal"/>
      <w:lvlText w:val="%1"/>
      <w:lvlJc w:val="left"/>
    </w:lvl>
  </w:abstractNum>
  <w:abstractNum w:abstractNumId="1">
    <w:nsid w:val="2FFD40CD"/>
    <w:multiLevelType w:val="multilevel"/>
    <w:tmpl w:val="2FFD40CD"/>
    <w:lvl w:ilvl="0" w:tentative="0">
      <w:start w:val="2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A3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E0483"/>
    <w:rsid w:val="000F0EDC"/>
    <w:rsid w:val="000F3D5A"/>
    <w:rsid w:val="00165869"/>
    <w:rsid w:val="00196A53"/>
    <w:rsid w:val="001E2496"/>
    <w:rsid w:val="001F7978"/>
    <w:rsid w:val="002215C2"/>
    <w:rsid w:val="00225D63"/>
    <w:rsid w:val="00234354"/>
    <w:rsid w:val="002650A3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28AE"/>
    <w:rsid w:val="004659EF"/>
    <w:rsid w:val="00480B0B"/>
    <w:rsid w:val="004B509A"/>
    <w:rsid w:val="004E4DAD"/>
    <w:rsid w:val="005075A3"/>
    <w:rsid w:val="005179E9"/>
    <w:rsid w:val="00523942"/>
    <w:rsid w:val="00525BBB"/>
    <w:rsid w:val="005C3989"/>
    <w:rsid w:val="005E7E07"/>
    <w:rsid w:val="006100C7"/>
    <w:rsid w:val="00610B28"/>
    <w:rsid w:val="006743B8"/>
    <w:rsid w:val="00680623"/>
    <w:rsid w:val="006A4FB5"/>
    <w:rsid w:val="006B0BFB"/>
    <w:rsid w:val="006D1DA8"/>
    <w:rsid w:val="00721490"/>
    <w:rsid w:val="0074611C"/>
    <w:rsid w:val="007A2ADF"/>
    <w:rsid w:val="007B28E6"/>
    <w:rsid w:val="007E3904"/>
    <w:rsid w:val="00843904"/>
    <w:rsid w:val="00894A29"/>
    <w:rsid w:val="008A5A0B"/>
    <w:rsid w:val="008D110D"/>
    <w:rsid w:val="008E4F97"/>
    <w:rsid w:val="00940BA3"/>
    <w:rsid w:val="00950D36"/>
    <w:rsid w:val="00956A27"/>
    <w:rsid w:val="00975D83"/>
    <w:rsid w:val="00982B04"/>
    <w:rsid w:val="009924F0"/>
    <w:rsid w:val="009A6D82"/>
    <w:rsid w:val="009D3F27"/>
    <w:rsid w:val="009E36A7"/>
    <w:rsid w:val="009E6BC9"/>
    <w:rsid w:val="00A350C4"/>
    <w:rsid w:val="00AC3458"/>
    <w:rsid w:val="00AD67D5"/>
    <w:rsid w:val="00AD727F"/>
    <w:rsid w:val="00B24F10"/>
    <w:rsid w:val="00B73C33"/>
    <w:rsid w:val="00B846FB"/>
    <w:rsid w:val="00B84BEF"/>
    <w:rsid w:val="00BA3C94"/>
    <w:rsid w:val="00BB6E56"/>
    <w:rsid w:val="00C03FFA"/>
    <w:rsid w:val="00C12245"/>
    <w:rsid w:val="00C53226"/>
    <w:rsid w:val="00C95F8C"/>
    <w:rsid w:val="00CD18ED"/>
    <w:rsid w:val="00CF2DAA"/>
    <w:rsid w:val="00D66BFB"/>
    <w:rsid w:val="00D9059D"/>
    <w:rsid w:val="00DA12B1"/>
    <w:rsid w:val="00DA6656"/>
    <w:rsid w:val="00DE5620"/>
    <w:rsid w:val="00E513DD"/>
    <w:rsid w:val="00E82408"/>
    <w:rsid w:val="00ED765C"/>
    <w:rsid w:val="00EF5EE1"/>
    <w:rsid w:val="00F02DFE"/>
    <w:rsid w:val="00F05AB0"/>
    <w:rsid w:val="00F0642D"/>
    <w:rsid w:val="00F0760F"/>
    <w:rsid w:val="00F314FF"/>
    <w:rsid w:val="00F33D13"/>
    <w:rsid w:val="00F47D8B"/>
    <w:rsid w:val="00F627D0"/>
    <w:rsid w:val="00F73587"/>
    <w:rsid w:val="00F841B6"/>
    <w:rsid w:val="00F92EA1"/>
    <w:rsid w:val="00FA19BF"/>
    <w:rsid w:val="00FE5D56"/>
    <w:rsid w:val="01041DE1"/>
    <w:rsid w:val="01225F6B"/>
    <w:rsid w:val="01D84BA8"/>
    <w:rsid w:val="028D2FBF"/>
    <w:rsid w:val="02DA7E74"/>
    <w:rsid w:val="03022904"/>
    <w:rsid w:val="038A1F16"/>
    <w:rsid w:val="04A37BF0"/>
    <w:rsid w:val="070B051A"/>
    <w:rsid w:val="07DB0466"/>
    <w:rsid w:val="08564CB9"/>
    <w:rsid w:val="086F2C3A"/>
    <w:rsid w:val="089C30CF"/>
    <w:rsid w:val="08CA2A7A"/>
    <w:rsid w:val="091D1BF8"/>
    <w:rsid w:val="0A1469F1"/>
    <w:rsid w:val="0A173D8A"/>
    <w:rsid w:val="0A1D441B"/>
    <w:rsid w:val="0AC90261"/>
    <w:rsid w:val="0B3B0E84"/>
    <w:rsid w:val="0B436F70"/>
    <w:rsid w:val="0B787C61"/>
    <w:rsid w:val="0CBB64AC"/>
    <w:rsid w:val="0CC05689"/>
    <w:rsid w:val="0CD5224C"/>
    <w:rsid w:val="0F95650E"/>
    <w:rsid w:val="10862A71"/>
    <w:rsid w:val="110171B2"/>
    <w:rsid w:val="11206E84"/>
    <w:rsid w:val="11CB5693"/>
    <w:rsid w:val="11D213EC"/>
    <w:rsid w:val="12A933AE"/>
    <w:rsid w:val="13392934"/>
    <w:rsid w:val="14E836E8"/>
    <w:rsid w:val="150054C7"/>
    <w:rsid w:val="15915B3D"/>
    <w:rsid w:val="15BE553B"/>
    <w:rsid w:val="16A3322F"/>
    <w:rsid w:val="17CD5A7B"/>
    <w:rsid w:val="187A66B9"/>
    <w:rsid w:val="1962712A"/>
    <w:rsid w:val="1B0F2B81"/>
    <w:rsid w:val="1E1B683D"/>
    <w:rsid w:val="1E2256DD"/>
    <w:rsid w:val="1EAB5371"/>
    <w:rsid w:val="1EB965F4"/>
    <w:rsid w:val="1FAE4963"/>
    <w:rsid w:val="1FE43F83"/>
    <w:rsid w:val="20F63843"/>
    <w:rsid w:val="212D209C"/>
    <w:rsid w:val="21A60DC4"/>
    <w:rsid w:val="222857CE"/>
    <w:rsid w:val="22704248"/>
    <w:rsid w:val="22977AED"/>
    <w:rsid w:val="250D1D0C"/>
    <w:rsid w:val="26710ACB"/>
    <w:rsid w:val="272535CA"/>
    <w:rsid w:val="2903464E"/>
    <w:rsid w:val="290F377C"/>
    <w:rsid w:val="2A5223CF"/>
    <w:rsid w:val="2AA9463F"/>
    <w:rsid w:val="2B0333E9"/>
    <w:rsid w:val="2C0C239D"/>
    <w:rsid w:val="2C7B2710"/>
    <w:rsid w:val="2CEB5D3E"/>
    <w:rsid w:val="30BA1D6D"/>
    <w:rsid w:val="30C20634"/>
    <w:rsid w:val="313161CC"/>
    <w:rsid w:val="31561A82"/>
    <w:rsid w:val="31AC0EA0"/>
    <w:rsid w:val="34512CDC"/>
    <w:rsid w:val="35AF0666"/>
    <w:rsid w:val="364E112D"/>
    <w:rsid w:val="36E0052C"/>
    <w:rsid w:val="36F84B57"/>
    <w:rsid w:val="374C0896"/>
    <w:rsid w:val="38FC32F5"/>
    <w:rsid w:val="39030A9D"/>
    <w:rsid w:val="3A2334B6"/>
    <w:rsid w:val="3A82221B"/>
    <w:rsid w:val="3A9241BA"/>
    <w:rsid w:val="3BCA0B96"/>
    <w:rsid w:val="3ECD0998"/>
    <w:rsid w:val="3ED508CA"/>
    <w:rsid w:val="3ED734A6"/>
    <w:rsid w:val="3F2932B0"/>
    <w:rsid w:val="3F82151A"/>
    <w:rsid w:val="3FA42170"/>
    <w:rsid w:val="3FAF36DB"/>
    <w:rsid w:val="3FE26683"/>
    <w:rsid w:val="406A14B3"/>
    <w:rsid w:val="409B2E14"/>
    <w:rsid w:val="41103459"/>
    <w:rsid w:val="428E6E50"/>
    <w:rsid w:val="43146FF6"/>
    <w:rsid w:val="43B92C0F"/>
    <w:rsid w:val="449C7E1E"/>
    <w:rsid w:val="45797337"/>
    <w:rsid w:val="4599227F"/>
    <w:rsid w:val="45D06EE4"/>
    <w:rsid w:val="468B50CB"/>
    <w:rsid w:val="46ED4212"/>
    <w:rsid w:val="46FE4C6E"/>
    <w:rsid w:val="47584A9D"/>
    <w:rsid w:val="47881AEB"/>
    <w:rsid w:val="47C04462"/>
    <w:rsid w:val="47D544D4"/>
    <w:rsid w:val="48F867F9"/>
    <w:rsid w:val="4941533E"/>
    <w:rsid w:val="49957D19"/>
    <w:rsid w:val="49BE175E"/>
    <w:rsid w:val="4A8E6560"/>
    <w:rsid w:val="4C173EDE"/>
    <w:rsid w:val="4C740BA8"/>
    <w:rsid w:val="4D000563"/>
    <w:rsid w:val="4D5D5930"/>
    <w:rsid w:val="4DE6755C"/>
    <w:rsid w:val="4E6D6F61"/>
    <w:rsid w:val="4EC06D16"/>
    <w:rsid w:val="4EF62BB5"/>
    <w:rsid w:val="4F201BB4"/>
    <w:rsid w:val="4F673E64"/>
    <w:rsid w:val="4FC1058D"/>
    <w:rsid w:val="4FED3084"/>
    <w:rsid w:val="506A04F4"/>
    <w:rsid w:val="51000FA0"/>
    <w:rsid w:val="518C5D3B"/>
    <w:rsid w:val="51FA450E"/>
    <w:rsid w:val="52291916"/>
    <w:rsid w:val="528B1069"/>
    <w:rsid w:val="533F437E"/>
    <w:rsid w:val="5368134E"/>
    <w:rsid w:val="53AD1A2D"/>
    <w:rsid w:val="53D170F4"/>
    <w:rsid w:val="56581D59"/>
    <w:rsid w:val="567360E6"/>
    <w:rsid w:val="579A1A74"/>
    <w:rsid w:val="58B12E03"/>
    <w:rsid w:val="58B3131C"/>
    <w:rsid w:val="58DD7AFF"/>
    <w:rsid w:val="59C5081D"/>
    <w:rsid w:val="5A2F5AF5"/>
    <w:rsid w:val="5AFF7905"/>
    <w:rsid w:val="5B492C91"/>
    <w:rsid w:val="5B8C1E41"/>
    <w:rsid w:val="5D2D075A"/>
    <w:rsid w:val="5DC547AD"/>
    <w:rsid w:val="5E7D6603"/>
    <w:rsid w:val="5EBD3850"/>
    <w:rsid w:val="5EC37D71"/>
    <w:rsid w:val="5F600D4E"/>
    <w:rsid w:val="609F186D"/>
    <w:rsid w:val="61333E65"/>
    <w:rsid w:val="61E947CD"/>
    <w:rsid w:val="622C52F5"/>
    <w:rsid w:val="629A11E5"/>
    <w:rsid w:val="62CB49A1"/>
    <w:rsid w:val="63616199"/>
    <w:rsid w:val="63F6500F"/>
    <w:rsid w:val="6468043E"/>
    <w:rsid w:val="646B2FA5"/>
    <w:rsid w:val="65170B20"/>
    <w:rsid w:val="65757715"/>
    <w:rsid w:val="660E4242"/>
    <w:rsid w:val="66372AED"/>
    <w:rsid w:val="677038E2"/>
    <w:rsid w:val="686325F3"/>
    <w:rsid w:val="68663796"/>
    <w:rsid w:val="69293200"/>
    <w:rsid w:val="694347AF"/>
    <w:rsid w:val="694F06EB"/>
    <w:rsid w:val="699277E4"/>
    <w:rsid w:val="6A063BDC"/>
    <w:rsid w:val="6A625D93"/>
    <w:rsid w:val="6A841BD5"/>
    <w:rsid w:val="6BE35659"/>
    <w:rsid w:val="6C0B1EC6"/>
    <w:rsid w:val="6F6F1C62"/>
    <w:rsid w:val="706743F9"/>
    <w:rsid w:val="70FD12D6"/>
    <w:rsid w:val="711E22C5"/>
    <w:rsid w:val="71394751"/>
    <w:rsid w:val="71F54A46"/>
    <w:rsid w:val="72DD2049"/>
    <w:rsid w:val="732872C5"/>
    <w:rsid w:val="73AB55C3"/>
    <w:rsid w:val="74EB5441"/>
    <w:rsid w:val="771976F5"/>
    <w:rsid w:val="77447586"/>
    <w:rsid w:val="78D86FD6"/>
    <w:rsid w:val="79C61A14"/>
    <w:rsid w:val="7BD13B30"/>
    <w:rsid w:val="7C080BA0"/>
    <w:rsid w:val="7D602F36"/>
    <w:rsid w:val="7D8354E8"/>
    <w:rsid w:val="7E100C99"/>
    <w:rsid w:val="7E886BD8"/>
    <w:rsid w:val="7F7A668F"/>
    <w:rsid w:val="7FF1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Document Map"/>
    <w:basedOn w:val="1"/>
    <w:link w:val="24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qFormat/>
    <w:uiPriority w:val="99"/>
    <w:pPr>
      <w:jc w:val="left"/>
    </w:pPr>
  </w:style>
  <w:style w:type="paragraph" w:styleId="9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qFormat/>
    <w:uiPriority w:val="0"/>
    <w:pPr>
      <w:ind w:left="568" w:hanging="284"/>
    </w:pPr>
  </w:style>
  <w:style w:type="table" w:styleId="14">
    <w:name w:val="Table Grid"/>
    <w:basedOn w:val="13"/>
    <w:qFormat/>
    <w:uiPriority w:val="0"/>
    <w:rPr>
      <w:rFonts w:ascii="Times New Roman" w:hAnsi="Times New Roman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qFormat/>
    <w:uiPriority w:val="99"/>
    <w:rPr>
      <w:color w:val="0000FF"/>
      <w:u w:val="single"/>
    </w:rPr>
  </w:style>
  <w:style w:type="character" w:customStyle="1" w:styleId="17">
    <w:name w:val="页眉 Char"/>
    <w:basedOn w:val="15"/>
    <w:link w:val="11"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0"/>
    <w:qFormat/>
    <w:uiPriority w:val="99"/>
    <w:rPr>
      <w:sz w:val="18"/>
      <w:szCs w:val="18"/>
    </w:rPr>
  </w:style>
  <w:style w:type="paragraph" w:customStyle="1" w:styleId="19">
    <w:name w:val="TH"/>
    <w:basedOn w:val="1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20">
    <w:name w:val="TF"/>
    <w:basedOn w:val="19"/>
    <w:qFormat/>
    <w:uiPriority w:val="0"/>
    <w:pPr>
      <w:keepNext w:val="0"/>
      <w:spacing w:before="0" w:after="240"/>
    </w:p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B1"/>
    <w:basedOn w:val="12"/>
    <w:qFormat/>
    <w:uiPriority w:val="0"/>
  </w:style>
  <w:style w:type="paragraph" w:customStyle="1" w:styleId="23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4">
    <w:name w:val="文档结构图 Char"/>
    <w:basedOn w:val="15"/>
    <w:link w:val="7"/>
    <w:semiHidden/>
    <w:qFormat/>
    <w:uiPriority w:val="99"/>
    <w:rPr>
      <w:rFonts w:ascii="宋体" w:eastAsia="宋体"/>
      <w:kern w:val="2"/>
      <w:sz w:val="18"/>
      <w:szCs w:val="18"/>
    </w:rPr>
  </w:style>
  <w:style w:type="character" w:customStyle="1" w:styleId="25">
    <w:name w:val="批注框文本 Char"/>
    <w:basedOn w:val="15"/>
    <w:link w:val="9"/>
    <w:semiHidden/>
    <w:qFormat/>
    <w:uiPriority w:val="99"/>
    <w:rPr>
      <w:kern w:val="2"/>
      <w:sz w:val="18"/>
      <w:szCs w:val="18"/>
    </w:rPr>
  </w:style>
  <w:style w:type="paragraph" w:customStyle="1" w:styleId="26">
    <w:name w:val="Doc-text2"/>
    <w:basedOn w:val="1"/>
    <w:qFormat/>
    <w:uiPriority w:val="0"/>
    <w:pPr>
      <w:tabs>
        <w:tab w:val="left" w:pos="1622"/>
      </w:tabs>
      <w:autoSpaceDE/>
      <w:autoSpaceDN/>
      <w:adjustRightInd/>
      <w:ind w:left="1622" w:hanging="363"/>
      <w:jc w:val="left"/>
      <w:textAlignment w:val="auto"/>
    </w:pPr>
    <w:rPr>
      <w:rFonts w:ascii="Arial" w:hAnsi="Arial" w:eastAsia="MS Mincho"/>
      <w:sz w:val="20"/>
      <w:lang w:val="en-GB" w:eastAsia="en-GB"/>
    </w:rPr>
  </w:style>
  <w:style w:type="paragraph" w:customStyle="1" w:styleId="27">
    <w:name w:val="Doc-comment"/>
    <w:basedOn w:val="1"/>
    <w:next w:val="26"/>
    <w:qFormat/>
    <w:uiPriority w:val="0"/>
    <w:pPr>
      <w:tabs>
        <w:tab w:val="left" w:pos="1622"/>
      </w:tabs>
      <w:spacing w:before="0"/>
      <w:ind w:left="1622" w:hanging="363"/>
    </w:pPr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690</Words>
  <Characters>3936</Characters>
  <Lines>32</Lines>
  <Paragraphs>9</Paragraphs>
  <TotalTime>3</TotalTime>
  <ScaleCrop>false</ScaleCrop>
  <LinksUpToDate>false</LinksUpToDate>
  <CharactersWithSpaces>4617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2022-09-30T07:00:00Z</dcterms:created>
  <dc:creator>CMCC_TJY</dc:creator>
  <cp:lastModifiedBy>CMCC</cp:lastModifiedBy>
  <dcterms:modified xsi:type="dcterms:W3CDTF">2023-08-11T06:28:05Z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A8F95F8453D441E3A204B30AF2965652</vt:lpwstr>
  </property>
</Properties>
</file>